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DB8EA" w14:textId="77777777" w:rsidR="005E5421" w:rsidRPr="001F49B8" w:rsidRDefault="00313DC4">
      <w:pPr>
        <w:rPr>
          <w:b/>
          <w:bCs/>
        </w:rPr>
      </w:pPr>
      <w:r w:rsidRPr="001F49B8">
        <w:rPr>
          <w:b/>
          <w:bCs/>
        </w:rPr>
        <w:t>Preface to the Accounting Standards for Local Bodies</w:t>
      </w:r>
    </w:p>
    <w:p w14:paraId="50ABDA4C" w14:textId="77777777" w:rsidR="00313DC4" w:rsidRPr="000E3458" w:rsidRDefault="00313DC4">
      <w:pPr>
        <w:rPr>
          <w:highlight w:val="yellow"/>
        </w:rPr>
      </w:pPr>
      <w:r>
        <w:t xml:space="preserve">(ASLB) </w:t>
      </w:r>
      <w:r w:rsidRPr="000E3458">
        <w:rPr>
          <w:highlight w:val="yellow"/>
        </w:rPr>
        <w:t xml:space="preserve">1 Presentation of Financial Statements </w:t>
      </w:r>
    </w:p>
    <w:p w14:paraId="6BE28806" w14:textId="77777777" w:rsidR="00313DC4" w:rsidRPr="000E3458" w:rsidRDefault="00313DC4">
      <w:pPr>
        <w:rPr>
          <w:highlight w:val="yellow"/>
        </w:rPr>
      </w:pPr>
      <w:r w:rsidRPr="000E3458">
        <w:rPr>
          <w:highlight w:val="yellow"/>
        </w:rPr>
        <w:t>(ASLB 2) Cash Flow Statements</w:t>
      </w:r>
    </w:p>
    <w:p w14:paraId="6C893607" w14:textId="77777777" w:rsidR="00313DC4" w:rsidRDefault="00313DC4">
      <w:r w:rsidRPr="000E3458">
        <w:rPr>
          <w:highlight w:val="yellow"/>
        </w:rPr>
        <w:t>(ASLB) 3 Accounting Policies, Changes in Accounting Estimates and Errors</w:t>
      </w:r>
    </w:p>
    <w:p w14:paraId="66EAA174" w14:textId="77777777" w:rsidR="00313DC4" w:rsidRDefault="00313DC4">
      <w:r>
        <w:t>(ASLB 4) The Effects of Changes in Foreign Exchange Rates</w:t>
      </w:r>
    </w:p>
    <w:p w14:paraId="5240C32B" w14:textId="77777777" w:rsidR="00313DC4" w:rsidRDefault="00313DC4">
      <w:r>
        <w:t>(ASLB) 5 Borrowing Costs</w:t>
      </w:r>
    </w:p>
    <w:p w14:paraId="198C3545" w14:textId="1EE52F42" w:rsidR="00313DC4" w:rsidRDefault="00313DC4">
      <w:r>
        <w:t>(ASLB</w:t>
      </w:r>
      <w:r w:rsidRPr="000E3458">
        <w:rPr>
          <w:highlight w:val="yellow"/>
        </w:rPr>
        <w:t>) 9 Revenue from Exchange Transactions</w:t>
      </w:r>
      <w:r w:rsidR="003C5E65">
        <w:t xml:space="preserve"> </w:t>
      </w:r>
    </w:p>
    <w:p w14:paraId="32E45A14" w14:textId="77777777" w:rsidR="00313DC4" w:rsidRDefault="00313DC4">
      <w:r>
        <w:t>(ASLB) 11 Construction Contracts</w:t>
      </w:r>
    </w:p>
    <w:p w14:paraId="7D608C13" w14:textId="77777777" w:rsidR="00313DC4" w:rsidRDefault="00313DC4">
      <w:r>
        <w:t xml:space="preserve">(ASLB) </w:t>
      </w:r>
      <w:r w:rsidRPr="000E3458">
        <w:rPr>
          <w:highlight w:val="yellow"/>
        </w:rPr>
        <w:t>12 Inventories</w:t>
      </w:r>
    </w:p>
    <w:p w14:paraId="7BEABACC" w14:textId="77777777" w:rsidR="00F27366" w:rsidRDefault="00F27366">
      <w:r>
        <w:t xml:space="preserve"> (ASLB) 13 Leases</w:t>
      </w:r>
    </w:p>
    <w:p w14:paraId="770D14B9" w14:textId="77777777" w:rsidR="00F27366" w:rsidRDefault="0018300D">
      <w:r>
        <w:t xml:space="preserve"> (ASLB) 14 Events a</w:t>
      </w:r>
      <w:r w:rsidR="00F27366">
        <w:t>fter the Reporting Date</w:t>
      </w:r>
    </w:p>
    <w:p w14:paraId="4BE0FDB5" w14:textId="77777777" w:rsidR="00F27366" w:rsidRDefault="00F27366">
      <w:r>
        <w:t>(ASLB) 16 Investment Property</w:t>
      </w:r>
    </w:p>
    <w:p w14:paraId="218BADE4" w14:textId="3C954D58" w:rsidR="000E3458" w:rsidRDefault="000E3458">
      <w:r>
        <w:t xml:space="preserve">(ASLB) 17 </w:t>
      </w:r>
      <w:r w:rsidRPr="006F0443">
        <w:rPr>
          <w:highlight w:val="yellow"/>
        </w:rPr>
        <w:t>Property, Plant and Equipment</w:t>
      </w:r>
    </w:p>
    <w:p w14:paraId="1171F661" w14:textId="77777777" w:rsidR="0018300D" w:rsidRDefault="0018300D">
      <w:r>
        <w:t>(ASLB) 18 Segment Reporting</w:t>
      </w:r>
    </w:p>
    <w:p w14:paraId="5C0590BF" w14:textId="77777777" w:rsidR="005A4018" w:rsidRDefault="00306E7A">
      <w:r>
        <w:t>(ASLB) 19 Provisions, Contingent Liabilities and Contingent Assets</w:t>
      </w:r>
    </w:p>
    <w:p w14:paraId="5C8EE15A" w14:textId="77777777" w:rsidR="005A4018" w:rsidRDefault="005A4018" w:rsidP="005A4018">
      <w:r>
        <w:t>(ASLB) 20 Related Party Disclosures</w:t>
      </w:r>
    </w:p>
    <w:p w14:paraId="70681E19" w14:textId="77777777" w:rsidR="005A4018" w:rsidRDefault="005A4018" w:rsidP="005A4018">
      <w:r>
        <w:t xml:space="preserve"> (ASLB) 21 Impairment of Non-Cash-Generating Assets</w:t>
      </w:r>
    </w:p>
    <w:p w14:paraId="65578E34" w14:textId="77777777" w:rsidR="00306E7A" w:rsidRDefault="005A4018" w:rsidP="005A4018">
      <w:r>
        <w:t xml:space="preserve"> (ASLB) </w:t>
      </w:r>
      <w:r w:rsidRPr="000E3458">
        <w:rPr>
          <w:highlight w:val="yellow"/>
        </w:rPr>
        <w:t>23 Revenue from Non-Exchange Transactions (Taxes and Transfers)</w:t>
      </w:r>
    </w:p>
    <w:p w14:paraId="1111754D" w14:textId="77777777" w:rsidR="000E3458" w:rsidRDefault="005A4018" w:rsidP="005A4018">
      <w:r>
        <w:t>(ASLB</w:t>
      </w:r>
      <w:r w:rsidRPr="000E3458">
        <w:rPr>
          <w:highlight w:val="yellow"/>
        </w:rPr>
        <w:t>) 24 Presentation of Budget Information in Financial Statements</w:t>
      </w:r>
    </w:p>
    <w:p w14:paraId="2E6EB1BD" w14:textId="6C4E2BB2" w:rsidR="005A4018" w:rsidRDefault="005A4018" w:rsidP="005A4018">
      <w:r>
        <w:t>(ASLB) 26 Impairment of Cash-Generating Assets</w:t>
      </w:r>
      <w:r w:rsidR="000E3458" w:rsidRPr="000E3458">
        <w:t xml:space="preserve"> </w:t>
      </w:r>
    </w:p>
    <w:p w14:paraId="2CEE5B79" w14:textId="48AE084C" w:rsidR="000E3458" w:rsidRDefault="000E3458" w:rsidP="005A4018">
      <w:r>
        <w:t>(ASLB) 31 Intangible Assets</w:t>
      </w:r>
    </w:p>
    <w:p w14:paraId="0F13AF23" w14:textId="0A6CD9E7" w:rsidR="000E3458" w:rsidRDefault="000E3458" w:rsidP="005A4018">
      <w:r>
        <w:t>(ASLB) 32 Service Concession Arrangements: Grantor</w:t>
      </w:r>
    </w:p>
    <w:p w14:paraId="74318008" w14:textId="44838D36" w:rsidR="000E3458" w:rsidRDefault="000E3458" w:rsidP="005A4018">
      <w:r>
        <w:t xml:space="preserve">ASLB 33, </w:t>
      </w:r>
      <w:r w:rsidRPr="006F0443">
        <w:rPr>
          <w:highlight w:val="yellow"/>
        </w:rPr>
        <w:t>First-Time Adoption of Accrual Basis Accounting Standards for Local Bodies</w:t>
      </w:r>
    </w:p>
    <w:p w14:paraId="2B38D84C" w14:textId="7877FDCF" w:rsidR="000E3458" w:rsidRDefault="000E3458" w:rsidP="005A4018">
      <w:r>
        <w:t>ASLB 34 Separate Financial Statements</w:t>
      </w:r>
    </w:p>
    <w:p w14:paraId="70DF8249" w14:textId="3C8B45D0" w:rsidR="000E3458" w:rsidRDefault="000E3458" w:rsidP="005A4018">
      <w:r>
        <w:t>ASLB</w:t>
      </w:r>
      <w:r>
        <w:t xml:space="preserve"> 35 Consolidated Financial Statements</w:t>
      </w:r>
    </w:p>
    <w:p w14:paraId="525EB600" w14:textId="31080930" w:rsidR="000E3458" w:rsidRDefault="000E3458" w:rsidP="005A4018">
      <w:r>
        <w:t>ASLB</w:t>
      </w:r>
      <w:r>
        <w:t xml:space="preserve"> 36 Investment in Associates and Joint Ventures</w:t>
      </w:r>
    </w:p>
    <w:p w14:paraId="63AF6A15" w14:textId="5BA979F2" w:rsidR="000E3458" w:rsidRDefault="000E3458" w:rsidP="005A4018">
      <w:r>
        <w:t>ASLB</w:t>
      </w:r>
      <w:r>
        <w:t xml:space="preserve"> </w:t>
      </w:r>
      <w:r w:rsidR="00211AEF">
        <w:t>37 Joint Arrangements</w:t>
      </w:r>
    </w:p>
    <w:p w14:paraId="47EED302" w14:textId="4B89C88B" w:rsidR="000E3458" w:rsidRDefault="000E3458" w:rsidP="005A4018">
      <w:r>
        <w:t>ASLB</w:t>
      </w:r>
      <w:r w:rsidR="00211AEF">
        <w:t xml:space="preserve"> 38 Disclosure of Interests in Other Entities</w:t>
      </w:r>
    </w:p>
    <w:p w14:paraId="24C7BBC0" w14:textId="0F5E6361" w:rsidR="00211AEF" w:rsidRDefault="000E3458" w:rsidP="005A4018">
      <w:r>
        <w:t>ASLB</w:t>
      </w:r>
      <w:r w:rsidR="00211AEF">
        <w:t xml:space="preserve"> 39 Employee Benefits</w:t>
      </w:r>
    </w:p>
    <w:p w14:paraId="1F58206D" w14:textId="73023FF1" w:rsidR="006F0443" w:rsidRDefault="006F0443" w:rsidP="005A4018">
      <w:r>
        <w:lastRenderedPageBreak/>
        <w:t>ASLB</w:t>
      </w:r>
      <w:r>
        <w:t xml:space="preserve"> 40 Entity Combinations</w:t>
      </w:r>
    </w:p>
    <w:p w14:paraId="10C9FCB3" w14:textId="0DE33913" w:rsidR="000E3458" w:rsidRDefault="000E3458" w:rsidP="005A4018">
      <w:r>
        <w:t xml:space="preserve">(ASLB) 42, </w:t>
      </w:r>
      <w:r w:rsidRPr="006F0443">
        <w:rPr>
          <w:highlight w:val="yellow"/>
        </w:rPr>
        <w:t>Social Benefits</w:t>
      </w:r>
    </w:p>
    <w:p w14:paraId="7EFFA814" w14:textId="0D315ECC" w:rsidR="00211AEF" w:rsidRDefault="00211AEF" w:rsidP="005A4018">
      <w:r>
        <w:t>Guidance Note on ‘Accounting for Investments’ for Local Bodies</w:t>
      </w:r>
    </w:p>
    <w:p w14:paraId="2EE60304" w14:textId="77777777" w:rsidR="000E3458" w:rsidRPr="005A4018" w:rsidRDefault="000E3458" w:rsidP="005A4018"/>
    <w:sectPr w:rsidR="000E3458" w:rsidRPr="005A4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C4"/>
    <w:rsid w:val="000E3458"/>
    <w:rsid w:val="0018300D"/>
    <w:rsid w:val="001F49B8"/>
    <w:rsid w:val="00211AEF"/>
    <w:rsid w:val="00306E7A"/>
    <w:rsid w:val="00313DC4"/>
    <w:rsid w:val="003C5E65"/>
    <w:rsid w:val="005A4018"/>
    <w:rsid w:val="005E5421"/>
    <w:rsid w:val="006F0443"/>
    <w:rsid w:val="009B58EB"/>
    <w:rsid w:val="00F2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C18E"/>
  <w15:chartTrackingRefBased/>
  <w15:docId w15:val="{0FC14F52-FEB9-4B27-9DE7-00C70DEA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CA Nirmal Kumar Chakrabarti</cp:lastModifiedBy>
  <cp:revision>4</cp:revision>
  <dcterms:created xsi:type="dcterms:W3CDTF">2024-04-30T09:52:00Z</dcterms:created>
  <dcterms:modified xsi:type="dcterms:W3CDTF">2024-05-02T11:14:00Z</dcterms:modified>
</cp:coreProperties>
</file>