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jc w:val="center"/>
      </w:pPr>
      <w:r>
        <w:rPr>
          <w:rFonts w:ascii="Times New Roman" w:cs="Times New Roman" w:eastAsia="Times New Roman" w:hAnsi="Times New Roman"/>
          <w:b/>
          <w:bCs/>
          <w:sz w:val="32"/>
          <w:szCs w:val="32"/>
        </w:rPr>
        <w:t xml:space="preserve">AI IN GST APPEALS</w:t>
      </w:r>
    </w:p>
    <w:p>
      <w:pPr>
        <w:spacing w:after="60" w:before="0" w:line="276"/>
        <w:jc w:val="center"/>
      </w:pPr>
      <w:r>
        <w:rPr>
          <w:rFonts w:ascii="Times New Roman" w:cs="Times New Roman" w:eastAsia="Times New Roman" w:hAnsi="Times New Roman"/>
          <w:b/>
          <w:bCs/>
          <w:sz w:val="28"/>
          <w:szCs w:val="28"/>
        </w:rPr>
        <w:t xml:space="preserve">Prompt Library and Verification Protocol</w:t>
      </w:r>
    </w:p>
    <w:p>
      <w:pPr>
        <w:spacing w:after="60" w:before="0" w:line="276"/>
        <w:jc w:val="center"/>
      </w:pPr>
      <w:r>
        <w:rPr>
          <w:rFonts w:ascii="Times New Roman" w:cs="Times New Roman" w:eastAsia="Times New Roman" w:hAnsi="Times New Roman"/>
          <w:i/>
          <w:iCs/>
          <w:sz w:val="24"/>
          <w:szCs w:val="24"/>
        </w:rPr>
        <w:t xml:space="preserve">Participant handout — from order to hearing</w:t>
      </w:r>
    </w:p>
    <w:p>
      <w:pPr>
        <w:spacing w:after="300" w:before="0" w:line="276"/>
        <w:jc w:val="center"/>
      </w:pPr>
      <w:r>
        <w:rPr>
          <w:rFonts w:ascii="Times New Roman" w:cs="Times New Roman" w:eastAsia="Times New Roman" w:hAnsi="Times New Roman"/>
          <w:sz w:val="20"/>
          <w:szCs w:val="20"/>
        </w:rPr>
        <w:t xml:space="preserve">CA Rajendra Rampuria, FCA, CS, RV (SFA), FAFD — R Rampuria &amp; Company, Chartered Accountants, Kolkata</w:t>
      </w:r>
    </w:p>
    <w:p>
      <w:pPr>
        <w:keepNext/>
        <w:spacing w:after="120" w:before="200" w:line="276"/>
        <w:jc w:val="left"/>
      </w:pPr>
      <w:r>
        <w:rPr>
          <w:rFonts w:ascii="Times New Roman" w:cs="Times New Roman" w:eastAsia="Times New Roman" w:hAnsi="Times New Roman"/>
          <w:b/>
          <w:bCs/>
          <w:sz w:val="24"/>
          <w:szCs w:val="24"/>
        </w:rPr>
        <w:t xml:space="preserve">Part A — Five rules before you type anything</w:t>
      </w:r>
    </w:p>
    <w:p>
      <w:pPr>
        <w:tabs>
          <w:tab w:val="left" w:pos="720"/>
        </w:tabs>
        <w:spacing w:after="140" w:line="276"/>
        <w:ind w:left="720" w:hanging="720"/>
        <w:jc w:val="both"/>
      </w:pPr>
      <w:r>
        <w:rPr>
          <w:rFonts w:ascii="Times New Roman" w:cs="Times New Roman" w:eastAsia="Times New Roman" w:hAnsi="Times New Roman"/>
          <w:sz w:val="24"/>
          <w:szCs w:val="24"/>
        </w:rPr>
        <w:t xml:space="preserve">1.</w:t>
      </w:r>
      <w:r>
        <w:rPr>
          <w:rFonts w:ascii="Times New Roman" w:cs="Times New Roman" w:eastAsia="Times New Roman" w:hAnsi="Times New Roman"/>
        </w:rPr>
        <w:t xml:space="preserve">	</w:t>
      </w:r>
      <w:r>
        <w:rPr>
          <w:rFonts w:ascii="Times New Roman" w:cs="Times New Roman" w:eastAsia="Times New Roman" w:hAnsi="Times New Roman"/>
          <w:b/>
          <w:bCs/>
          <w:sz w:val="24"/>
          <w:szCs w:val="24"/>
        </w:rPr>
        <w:t xml:space="preserve">Anchor every answer to the record.</w:t>
      </w:r>
      <w:r>
        <w:rPr>
          <w:rFonts w:ascii="Times New Roman" w:cs="Times New Roman" w:eastAsia="Times New Roman" w:hAnsi="Times New Roman"/>
          <w:sz w:val="24"/>
          <w:szCs w:val="24"/>
        </w:rPr>
        <w:t xml:space="preserve"> Upload the order, the SCN, your reply and the DRC-07, and tell the tool to work only from them. An AI that is not tied to the record will fill gaps with plausible fiction.</w:t>
      </w:r>
    </w:p>
    <w:p>
      <w:pPr>
        <w:tabs>
          <w:tab w:val="left" w:pos="720"/>
        </w:tabs>
        <w:spacing w:after="140" w:line="276"/>
        <w:ind w:left="720" w:hanging="720"/>
        <w:jc w:val="both"/>
      </w:pPr>
      <w:r>
        <w:rPr>
          <w:rFonts w:ascii="Times New Roman" w:cs="Times New Roman" w:eastAsia="Times New Roman" w:hAnsi="Times New Roman"/>
          <w:sz w:val="24"/>
          <w:szCs w:val="24"/>
        </w:rPr>
        <w:t xml:space="preserve">2.</w:t>
      </w:r>
      <w:r>
        <w:rPr>
          <w:rFonts w:ascii="Times New Roman" w:cs="Times New Roman" w:eastAsia="Times New Roman" w:hAnsi="Times New Roman"/>
        </w:rPr>
        <w:t xml:space="preserve">	</w:t>
      </w:r>
      <w:r>
        <w:rPr>
          <w:rFonts w:ascii="Times New Roman" w:cs="Times New Roman" w:eastAsia="Times New Roman" w:hAnsi="Times New Roman"/>
          <w:b/>
          <w:bCs/>
          <w:sz w:val="24"/>
          <w:szCs w:val="24"/>
        </w:rPr>
        <w:t xml:space="preserve">Mask before you upload.</w:t>
      </w:r>
      <w:r>
        <w:rPr>
          <w:rFonts w:ascii="Times New Roman" w:cs="Times New Roman" w:eastAsia="Times New Roman" w:hAnsi="Times New Roman"/>
          <w:sz w:val="24"/>
          <w:szCs w:val="24"/>
        </w:rPr>
        <w:t xml:space="preserve"> Replace the client's name, GSTIN, PAN, bank details and individuals' names. Use a paid or enterprise plan where your data is not used for training, and keep the client's consent on file. Confidentiality under the Chartered Accountants Act, 1949 and the Digital Personal Data Protection Act, 2023 does not pause because the tool is convenient.</w:t>
      </w:r>
    </w:p>
    <w:p>
      <w:pPr>
        <w:tabs>
          <w:tab w:val="left" w:pos="720"/>
        </w:tabs>
        <w:spacing w:after="140" w:line="276"/>
        <w:ind w:left="720" w:hanging="720"/>
        <w:jc w:val="both"/>
      </w:pPr>
      <w:r>
        <w:rPr>
          <w:rFonts w:ascii="Times New Roman" w:cs="Times New Roman" w:eastAsia="Times New Roman" w:hAnsi="Times New Roman"/>
          <w:sz w:val="24"/>
          <w:szCs w:val="24"/>
        </w:rPr>
        <w:t xml:space="preserve">3.</w:t>
      </w:r>
      <w:r>
        <w:rPr>
          <w:rFonts w:ascii="Times New Roman" w:cs="Times New Roman" w:eastAsia="Times New Roman" w:hAnsi="Times New Roman"/>
        </w:rPr>
        <w:t xml:space="preserve">	</w:t>
      </w:r>
      <w:r>
        <w:rPr>
          <w:rFonts w:ascii="Times New Roman" w:cs="Times New Roman" w:eastAsia="Times New Roman" w:hAnsi="Times New Roman"/>
          <w:b/>
          <w:bCs/>
          <w:sz w:val="24"/>
          <w:szCs w:val="24"/>
        </w:rPr>
        <w:t xml:space="preserve">Ask AI for structure, issues and language — never for authority you have not verified.</w:t>
      </w:r>
      <w:r>
        <w:rPr>
          <w:rFonts w:ascii="Times New Roman" w:cs="Times New Roman" w:eastAsia="Times New Roman" w:hAnsi="Times New Roman"/>
          <w:sz w:val="24"/>
          <w:szCs w:val="24"/>
        </w:rPr>
        <w:t xml:space="preserve"> Every judgment, circular and notification is checked at source by you, in full text, before it goes into a filing.</w:t>
      </w:r>
    </w:p>
    <w:p>
      <w:pPr>
        <w:tabs>
          <w:tab w:val="left" w:pos="720"/>
        </w:tabs>
        <w:spacing w:after="140" w:line="276"/>
        <w:ind w:left="720" w:hanging="720"/>
        <w:jc w:val="both"/>
      </w:pPr>
      <w:r>
        <w:rPr>
          <w:rFonts w:ascii="Times New Roman" w:cs="Times New Roman" w:eastAsia="Times New Roman" w:hAnsi="Times New Roman"/>
          <w:sz w:val="24"/>
          <w:szCs w:val="24"/>
        </w:rPr>
        <w:t xml:space="preserve">4.</w:t>
      </w:r>
      <w:r>
        <w:rPr>
          <w:rFonts w:ascii="Times New Roman" w:cs="Times New Roman" w:eastAsia="Times New Roman" w:hAnsi="Times New Roman"/>
        </w:rPr>
        <w:t xml:space="preserve">	</w:t>
      </w:r>
      <w:r>
        <w:rPr>
          <w:rFonts w:ascii="Times New Roman" w:cs="Times New Roman" w:eastAsia="Times New Roman" w:hAnsi="Times New Roman"/>
          <w:b/>
          <w:bCs/>
          <w:sz w:val="24"/>
          <w:szCs w:val="24"/>
        </w:rPr>
        <w:t xml:space="preserve">Numbers come from formulas, not from chat.</w:t>
      </w:r>
      <w:r>
        <w:rPr>
          <w:rFonts w:ascii="Times New Roman" w:cs="Times New Roman" w:eastAsia="Times New Roman" w:hAnsi="Times New Roman"/>
          <w:sz w:val="24"/>
          <w:szCs w:val="24"/>
        </w:rPr>
        <w:t xml:space="preserve"> Let AI design the reconciliation; let the spreadsheet do the arithmetic; tie every figure back to the order.</w:t>
      </w:r>
    </w:p>
    <w:p>
      <w:pPr>
        <w:tabs>
          <w:tab w:val="left" w:pos="720"/>
        </w:tabs>
        <w:spacing w:after="140" w:line="276"/>
        <w:ind w:left="720" w:hanging="720"/>
        <w:jc w:val="both"/>
      </w:pPr>
      <w:r>
        <w:rPr>
          <w:rFonts w:ascii="Times New Roman" w:cs="Times New Roman" w:eastAsia="Times New Roman" w:hAnsi="Times New Roman"/>
          <w:sz w:val="24"/>
          <w:szCs w:val="24"/>
        </w:rPr>
        <w:t xml:space="preserve">5.</w:t>
      </w:r>
      <w:r>
        <w:rPr>
          <w:rFonts w:ascii="Times New Roman" w:cs="Times New Roman" w:eastAsia="Times New Roman" w:hAnsi="Times New Roman"/>
        </w:rPr>
        <w:t xml:space="preserve">	</w:t>
      </w:r>
      <w:r>
        <w:rPr>
          <w:rFonts w:ascii="Times New Roman" w:cs="Times New Roman" w:eastAsia="Times New Roman" w:hAnsi="Times New Roman"/>
          <w:b/>
          <w:bCs/>
          <w:sz w:val="24"/>
          <w:szCs w:val="24"/>
        </w:rPr>
        <w:t xml:space="preserve">The signature is yours.</w:t>
      </w:r>
      <w:r>
        <w:rPr>
          <w:rFonts w:ascii="Times New Roman" w:cs="Times New Roman" w:eastAsia="Times New Roman" w:hAnsi="Times New Roman"/>
          <w:sz w:val="24"/>
          <w:szCs w:val="24"/>
        </w:rPr>
        <w:t xml:space="preserve"> The Appellate Authority will not ask which tool drafted a paragraph. It will ask you what it means.</w:t>
      </w:r>
    </w:p>
    <w:p>
      <w:pPr>
        <w:keepNext/>
        <w:spacing w:after="120" w:before="200" w:line="276"/>
        <w:jc w:val="left"/>
      </w:pPr>
      <w:r>
        <w:rPr>
          <w:rFonts w:ascii="Times New Roman" w:cs="Times New Roman" w:eastAsia="Times New Roman" w:hAnsi="Times New Roman"/>
          <w:b/>
          <w:bCs/>
          <w:sz w:val="24"/>
          <w:szCs w:val="24"/>
        </w:rPr>
        <w:t xml:space="preserve">Part B — The master instruction (paste once at the start of every appeal project)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Master instruction</w:t>
            </w:r>
          </w:p>
          <w:p>
            <w:pPr>
              <w:spacing w:after="0"/>
              <w:jc w:val="left"/>
            </w:pPr>
            <w:r>
              <w:rPr>
                <w:rFonts w:ascii="Times New Roman" w:cs="Times New Roman" w:eastAsia="Times New Roman" w:hAnsi="Times New Roman"/>
                <w:sz w:val="21"/>
                <w:szCs w:val="21"/>
              </w:rPr>
              <w:t xml:space="preserve">You are assisting a Chartered Accountant who appears before GST appellate authorities in India. Work only from the documents uploaded in this project. Follow these rules without exception:</w:t>
            </w:r>
          </w:p>
          <w:p>
            <w:pPr>
              <w:spacing w:after="0"/>
              <w:jc w:val="left"/>
            </w:pPr>
            <w:r>
              <w:rPr>
                <w:rFonts w:ascii="Times New Roman" w:cs="Times New Roman" w:eastAsia="Times New Roman" w:hAnsi="Times New Roman"/>
                <w:sz w:val="21"/>
                <w:szCs w:val="21"/>
              </w:rPr>
              <w:t xml:space="preserve">(1) If a fact, date or figure is not in the documents, write NOT IN RECORD. Do not assume.</w:t>
            </w:r>
          </w:p>
          <w:p>
            <w:pPr>
              <w:spacing w:after="0"/>
              <w:jc w:val="left"/>
            </w:pPr>
            <w:r>
              <w:rPr>
                <w:rFonts w:ascii="Times New Roman" w:cs="Times New Roman" w:eastAsia="Times New Roman" w:hAnsi="Times New Roman"/>
                <w:sz w:val="21"/>
                <w:szCs w:val="21"/>
              </w:rPr>
              <w:t xml:space="preserve">(2) Do not cite any judgment, circular or notification unless I have supplied it. If you believe an authority is relevant, write [TO VERIFY: exact name, court/issuer, date, number, proposition] so that I can check it at source.</w:t>
            </w:r>
          </w:p>
          <w:p>
            <w:pPr>
              <w:spacing w:after="0"/>
              <w:jc w:val="left"/>
            </w:pPr>
            <w:r>
              <w:rPr>
                <w:rFonts w:ascii="Times New Roman" w:cs="Times New Roman" w:eastAsia="Times New Roman" w:hAnsi="Times New Roman"/>
                <w:sz w:val="21"/>
                <w:szCs w:val="21"/>
              </w:rPr>
              <w:t xml:space="preserve">(3) Refer to statutory provisions by section, sub-section and clause, naming the Act (CGST Act, 2017 / WBGST Act, 2017) as amended up to [date].</w:t>
            </w:r>
          </w:p>
          <w:p>
            <w:pPr>
              <w:spacing w:after="0"/>
              <w:jc w:val="left"/>
            </w:pPr>
            <w:r>
              <w:rPr>
                <w:rFonts w:ascii="Times New Roman" w:cs="Times New Roman" w:eastAsia="Times New Roman" w:hAnsi="Times New Roman"/>
                <w:sz w:val="21"/>
                <w:szCs w:val="21"/>
              </w:rPr>
              <w:t xml:space="preserve">(4) For every figure and date, give the document and paragraph it comes from.</w:t>
            </w:r>
          </w:p>
          <w:p>
            <w:pPr>
              <w:spacing w:after="0"/>
              <w:jc w:val="left"/>
            </w:pPr>
            <w:r>
              <w:rPr>
                <w:rFonts w:ascii="Times New Roman" w:cs="Times New Roman" w:eastAsia="Times New Roman" w:hAnsi="Times New Roman"/>
                <w:sz w:val="21"/>
                <w:szCs w:val="21"/>
              </w:rPr>
              <w:t xml:space="preserve">(5) Write in plain, precise English: short sentences, strongest point first, no archaic legalese, no adjectives where a fact will do.</w:t>
            </w:r>
          </w:p>
          <w:p>
            <w:pPr>
              <w:spacing w:after="0"/>
              <w:jc w:val="left"/>
            </w:pPr>
            <w:r>
              <w:rPr>
                <w:rFonts w:ascii="Times New Roman" w:cs="Times New Roman" w:eastAsia="Times New Roman" w:hAnsi="Times New Roman"/>
                <w:sz w:val="21"/>
                <w:szCs w:val="21"/>
              </w:rPr>
              <w:t xml:space="preserve">(6) Never concede a point on my behalf. If a point is weak, say so separately.</w:t>
            </w:r>
          </w:p>
          <w:p>
            <w:pPr>
              <w:spacing w:after="0"/>
              <w:jc w:val="left"/>
            </w:pPr>
            <w:r>
              <w:rPr>
                <w:rFonts w:ascii="Times New Roman" w:cs="Times New Roman" w:eastAsia="Times New Roman" w:hAnsi="Times New Roman"/>
                <w:sz w:val="21"/>
                <w:szCs w:val="21"/>
              </w:rPr>
              <w:t xml:space="preserve">(7) Where you are unsure, say so.</w:t>
            </w:r>
          </w:p>
        </w:tc>
      </w:tr>
    </w:tbl>
    <w:p>
      <w:pPr>
        <w:spacing w:after="120" w:before="0" w:line="276"/>
        <w:jc w:val="both"/>
      </w:pPr>
    </w:p>
    <w:p>
      <w:r>
        <w:br w:type="page"/>
      </w:r>
    </w:p>
    <w:p>
      <w:pPr>
        <w:keepNext/>
        <w:spacing w:after="120" w:before="200" w:line="276"/>
        <w:jc w:val="left"/>
      </w:pPr>
      <w:r>
        <w:rPr>
          <w:rFonts w:ascii="Times New Roman" w:cs="Times New Roman" w:eastAsia="Times New Roman" w:hAnsi="Times New Roman"/>
          <w:b/>
          <w:bCs/>
          <w:sz w:val="24"/>
          <w:szCs w:val="24"/>
        </w:rPr>
        <w:t xml:space="preserve">Part C — Stage-wise prompts</w:t>
      </w:r>
    </w:p>
    <w:p>
      <w:pPr>
        <w:keepNext/>
        <w:spacing w:after="120" w:before="200" w:line="276"/>
        <w:jc w:val="left"/>
      </w:pPr>
      <w:r>
        <w:rPr>
          <w:rFonts w:ascii="Times New Roman" w:cs="Times New Roman" w:eastAsia="Times New Roman" w:hAnsi="Times New Roman"/>
          <w:b/>
          <w:bCs/>
          <w:sz w:val="24"/>
          <w:szCs w:val="24"/>
        </w:rPr>
        <w:t xml:space="preserve">P1.  Dissect the order</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the order has just arrived and you need a case card in ten minutes.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Read the attached order-in-original and DRC-07. Prepare:</w:t>
            </w:r>
          </w:p>
          <w:p>
            <w:pPr>
              <w:spacing w:after="0"/>
              <w:jc w:val="left"/>
            </w:pPr>
            <w:r>
              <w:rPr>
                <w:rFonts w:ascii="Times New Roman" w:cs="Times New Roman" w:eastAsia="Times New Roman" w:hAnsi="Times New Roman"/>
                <w:sz w:val="21"/>
                <w:szCs w:val="21"/>
              </w:rPr>
              <w:t xml:space="preserve">(a) a one-page case card: parties, GSTIN [masked], period, section invoked, dates of ASMT-10, ASMT-11, SCN, reply, personal hearing (if any) and order; tax, interest and penalty, head-wise;</w:t>
            </w:r>
          </w:p>
          <w:p>
            <w:pPr>
              <w:spacing w:after="0"/>
              <w:jc w:val="left"/>
            </w:pPr>
            <w:r>
              <w:rPr>
                <w:rFonts w:ascii="Times New Roman" w:cs="Times New Roman" w:eastAsia="Times New Roman" w:hAnsi="Times New Roman"/>
                <w:sz w:val="21"/>
                <w:szCs w:val="21"/>
              </w:rPr>
              <w:t xml:space="preserve">(b) an issue table — for each issue: allegation in the SCN, the taxpayer's reply as recorded in the order, the officer's finding, the provision relied on, and the paragraph of the order;</w:t>
            </w:r>
          </w:p>
          <w:p>
            <w:pPr>
              <w:spacing w:after="0"/>
              <w:jc w:val="left"/>
            </w:pPr>
            <w:r>
              <w:rPr>
                <w:rFonts w:ascii="Times New Roman" w:cs="Times New Roman" w:eastAsia="Times New Roman" w:hAnsi="Times New Roman"/>
                <w:sz w:val="21"/>
                <w:szCs w:val="21"/>
              </w:rPr>
              <w:t xml:space="preserve">(c) every statement in the order that is internally inconsistent, or contradicted by another document I have uploaded;</w:t>
            </w:r>
          </w:p>
          <w:p>
            <w:pPr>
              <w:spacing w:after="0"/>
              <w:jc w:val="left"/>
            </w:pPr>
            <w:r>
              <w:rPr>
                <w:rFonts w:ascii="Times New Roman" w:cs="Times New Roman" w:eastAsia="Times New Roman" w:hAnsi="Times New Roman"/>
                <w:sz w:val="21"/>
                <w:szCs w:val="21"/>
              </w:rPr>
              <w:t xml:space="preserve">(d) every date relevant to limitation.</w:t>
            </w:r>
          </w:p>
          <w:p>
            <w:pPr>
              <w:spacing w:after="0"/>
              <w:jc w:val="left"/>
            </w:pPr>
            <w:r>
              <w:rPr>
                <w:rFonts w:ascii="Times New Roman" w:cs="Times New Roman" w:eastAsia="Times New Roman" w:hAnsi="Times New Roman"/>
                <w:sz w:val="21"/>
                <w:szCs w:val="21"/>
              </w:rPr>
              <w:t xml:space="preserve">Present (a) and (b) as tables. Do not argue the case yet.</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every figure against the order; every paragraph reference; whether the tool has quietly accepted the officer's version of the reply.</w:t>
      </w:r>
    </w:p>
    <w:p>
      <w:pPr>
        <w:keepNext/>
        <w:spacing w:after="120" w:before="200" w:line="276"/>
        <w:jc w:val="left"/>
      </w:pPr>
      <w:r>
        <w:rPr>
          <w:rFonts w:ascii="Times New Roman" w:cs="Times New Roman" w:eastAsia="Times New Roman" w:hAnsi="Times New Roman"/>
          <w:b/>
          <w:bCs/>
          <w:sz w:val="24"/>
          <w:szCs w:val="24"/>
        </w:rPr>
        <w:t xml:space="preserve">P2.  Limitation and pre-deposit</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before anything else is drafted — a perfect appeal filed late is no appeal.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From the case card, compute:</w:t>
            </w:r>
          </w:p>
          <w:p>
            <w:pPr>
              <w:spacing w:after="0"/>
              <w:jc w:val="left"/>
            </w:pPr>
            <w:r>
              <w:rPr>
                <w:rFonts w:ascii="Times New Roman" w:cs="Times New Roman" w:eastAsia="Times New Roman" w:hAnsi="Times New Roman"/>
                <w:sz w:val="21"/>
                <w:szCs w:val="21"/>
              </w:rPr>
              <w:t xml:space="preserve">(a) the last date for filing appeal under Section 107(1) of the CGST Act, 2017 (three months from the date of communication) and the further period that may be condoned under Section 107(4). Show the computation and state how you treated the first day;</w:t>
            </w:r>
          </w:p>
          <w:p>
            <w:pPr>
              <w:spacing w:after="0"/>
              <w:jc w:val="left"/>
            </w:pPr>
            <w:r>
              <w:rPr>
                <w:rFonts w:ascii="Times New Roman" w:cs="Times New Roman" w:eastAsia="Times New Roman" w:hAnsi="Times New Roman"/>
                <w:sz w:val="21"/>
                <w:szCs w:val="21"/>
              </w:rPr>
              <w:t xml:space="preserve">(b) the pre-deposit under Section 107(6): the admitted tax, interest and penalty in full, plus ten per cent of the remaining tax in dispute, head-wise. Treat [Category C amount] as admitted.</w:t>
            </w:r>
          </w:p>
          <w:p>
            <w:pPr>
              <w:spacing w:after="0"/>
              <w:jc w:val="left"/>
            </w:pPr>
            <w:r>
              <w:rPr>
                <w:rFonts w:ascii="Times New Roman" w:cs="Times New Roman" w:eastAsia="Times New Roman" w:hAnsi="Times New Roman"/>
                <w:sz w:val="21"/>
                <w:szCs w:val="21"/>
              </w:rPr>
              <w:t xml:space="preserve">List every assumption separately.</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three months is not ninety days; exclusion of the first day (Section 9, General Clauses Act, 1897); pre-deposit is on tax in dispute, not on interest and penalty (penalty-only orders follow the separate proviso); the current cap in Section 107(6).</w:t>
      </w:r>
    </w:p>
    <w:p>
      <w:pPr>
        <w:keepNext/>
        <w:spacing w:after="120" w:before="200" w:line="276"/>
        <w:jc w:val="left"/>
      </w:pPr>
      <w:r>
        <w:rPr>
          <w:rFonts w:ascii="Times New Roman" w:cs="Times New Roman" w:eastAsia="Times New Roman" w:hAnsi="Times New Roman"/>
          <w:b/>
          <w:bCs/>
          <w:sz w:val="24"/>
          <w:szCs w:val="24"/>
        </w:rPr>
        <w:t xml:space="preserve">P3.  Design the reconciliation (do not compute in chat)</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the dispute turns on GSTR-3B vs GSTR-2B, books vs returns, or supplier defaults.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Attached are my purchase register and GSTR-2B data [masked]. Do not compute totals in this chat. Instead:</w:t>
            </w:r>
          </w:p>
          <w:p>
            <w:pPr>
              <w:spacing w:after="0"/>
              <w:jc w:val="left"/>
            </w:pPr>
            <w:r>
              <w:rPr>
                <w:rFonts w:ascii="Times New Roman" w:cs="Times New Roman" w:eastAsia="Times New Roman" w:hAnsi="Times New Roman"/>
                <w:sz w:val="21"/>
                <w:szCs w:val="21"/>
              </w:rPr>
              <w:t xml:space="preserve">(a) propose the matching key and the matching rules in order — exact match on supplier GSTIN + invoice number; then GSTR-2B of later periods; then near-match on GSTIN + amount (±₹1) + date (±3 days);</w:t>
            </w:r>
          </w:p>
          <w:p>
            <w:pPr>
              <w:spacing w:after="0"/>
              <w:jc w:val="left"/>
            </w:pPr>
            <w:r>
              <w:rPr>
                <w:rFonts w:ascii="Times New Roman" w:cs="Times New Roman" w:eastAsia="Times New Roman" w:hAnsi="Times New Roman"/>
                <w:sz w:val="21"/>
                <w:szCs w:val="21"/>
              </w:rPr>
              <w:t xml:space="preserve">(b) give Excel formulas (COUNTIF, SUMIF, INDEX-MATCH; no XLOOKUP) to classify each invoice as: Matched / A – reflected in later 2B / B – supplier reported B2C / C – not traceable;</w:t>
            </w:r>
          </w:p>
          <w:p>
            <w:pPr>
              <w:spacing w:after="0"/>
              <w:jc w:val="left"/>
            </w:pPr>
            <w:r>
              <w:rPr>
                <w:rFonts w:ascii="Times New Roman" w:cs="Times New Roman" w:eastAsia="Times New Roman" w:hAnsi="Times New Roman"/>
                <w:sz w:val="21"/>
                <w:szCs w:val="21"/>
              </w:rPr>
              <w:t xml:space="preserve">(c) for each category, list the documents I should collect and the legal position I should test.</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the tie-out cell (computed difference minus the order's figure) must be zero; sample-check at least five invoices by hand; decide yourself what to concede.</w:t>
      </w:r>
    </w:p>
    <w:p>
      <w:pPr>
        <w:keepNext/>
        <w:spacing w:after="120" w:before="200" w:line="276"/>
        <w:jc w:val="left"/>
      </w:pPr>
      <w:r>
        <w:rPr>
          <w:rFonts w:ascii="Times New Roman" w:cs="Times New Roman" w:eastAsia="Times New Roman" w:hAnsi="Times New Roman"/>
          <w:b/>
          <w:bCs/>
          <w:sz w:val="24"/>
          <w:szCs w:val="24"/>
        </w:rPr>
        <w:t xml:space="preserve">P4.  Spot the issues — jurisdiction first</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you have the case card and the reconciliation and want a ranked list of grounds.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Act as a senior GST counsel reviewing this order for appeal. Rank the available grounds in this order: (1) jurisdiction and limitation — Sections 73, 74, 74A, 73(10), 75(7); (2) natural justice — Section 75(4) personal hearing, Section 75(6) reasoned order, consideration of the reply actually filed; (3) merits, issue by issue; (4) interest and penalty. For each ground: the fact in the record that supports it (with paragraph number), and the strongest counter-argument the department will make. Mark any point that needs authority as [AUTHORITY NEEDED]. Do not cite case law.</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whether the ground is real or merely clever; whether a concession on a small item will strengthen the larger grounds.</w:t>
      </w:r>
    </w:p>
    <w:p>
      <w:pPr>
        <w:keepNext/>
        <w:spacing w:after="120" w:before="200" w:line="276"/>
        <w:jc w:val="left"/>
      </w:pPr>
      <w:r>
        <w:rPr>
          <w:rFonts w:ascii="Times New Roman" w:cs="Times New Roman" w:eastAsia="Times New Roman" w:hAnsi="Times New Roman"/>
          <w:b/>
          <w:bCs/>
          <w:sz w:val="24"/>
          <w:szCs w:val="24"/>
        </w:rPr>
        <w:t xml:space="preserve">P5.  Statement of facts (Form GST APL-01)</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the grounds are settled and you need the factual annexure.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Draft the Statement of Facts in numbered paragraphs, strictly chronological. Take every date and figure from the uploaded documents and show the source in brackets. Neutral tone — facts only, no argument. Not more than two pages.</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chronology against the portal; that the reply is described as you filed it, not as the officer summarised it.</w:t>
      </w:r>
    </w:p>
    <w:p>
      <w:pPr>
        <w:keepNext/>
        <w:spacing w:after="120" w:before="200" w:line="276"/>
        <w:jc w:val="left"/>
      </w:pPr>
      <w:r>
        <w:rPr>
          <w:rFonts w:ascii="Times New Roman" w:cs="Times New Roman" w:eastAsia="Times New Roman" w:hAnsi="Times New Roman"/>
          <w:b/>
          <w:bCs/>
          <w:sz w:val="24"/>
          <w:szCs w:val="24"/>
        </w:rPr>
        <w:t xml:space="preserve">P6.  Grounds of appeal — in the Palkhivala manner</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drafting the grounds.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Draft the grounds of appeal. Each ground: one sentence stating the legal error, followed by two to four sentences of supporting fact. Jurisdiction and natural justice first, then merits, then interest and penalty. Style: plain and forceful, in the manner of Nani Palkhivala — strongest point first, no adjective where a fact will do, no repetition. Keep each ground independent, so that the failure of one does not weaken another. End with a ground reserving the right to add, alter or amend.</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that no ground concedes a fact; that each ground is supported by the record; tone — legal error, never personal attack on the officer.</w:t>
      </w:r>
    </w:p>
    <w:p>
      <w:pPr>
        <w:keepNext/>
        <w:spacing w:after="120" w:before="200" w:line="276"/>
        <w:jc w:val="left"/>
      </w:pPr>
      <w:r>
        <w:rPr>
          <w:rFonts w:ascii="Times New Roman" w:cs="Times New Roman" w:eastAsia="Times New Roman" w:hAnsi="Times New Roman"/>
          <w:b/>
          <w:bCs/>
          <w:sz w:val="24"/>
          <w:szCs w:val="24"/>
        </w:rPr>
        <w:t xml:space="preserve">P7.  Written submission for the personal hearing</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the hearing notice has come.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Using the grounds and the record, prepare a written submission: A. Prefatory note (three short paragraphs — what this case is really about); B. Synopsis table — issue / amount confirmed / our answer in one line / document reference; C. Chronology; D. Submissions numbered continuously; E. Prayer — set aside; in the alternative, remand; residuary prayer. Show where each annexure of the paper book will be cited.</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every citation at source (Part D); that the synopsis figures tie to the reconciliation.</w:t>
      </w:r>
    </w:p>
    <w:p>
      <w:pPr>
        <w:keepNext/>
        <w:spacing w:after="120" w:before="200" w:line="276"/>
        <w:jc w:val="left"/>
      </w:pPr>
      <w:r>
        <w:rPr>
          <w:rFonts w:ascii="Times New Roman" w:cs="Times New Roman" w:eastAsia="Times New Roman" w:hAnsi="Times New Roman"/>
          <w:b/>
          <w:bCs/>
          <w:sz w:val="24"/>
          <w:szCs w:val="24"/>
        </w:rPr>
        <w:t xml:space="preserve">P8.  Hearing rehearsal — the devil's advocate</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two days before the hearing.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You are the Appellate Authority. You have read the order and our submission and you are inclined to dismiss the appeal. Ask me the ten hardest questions you would ask at the hearing, hardest first. After each of my answers, tell me whether it would satisfy you, and how to say it in fewer words. Then give me a two-minute opening: the case in three sentences, the one document you must see, and the relief sought.</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nothing to verify — but practise aloud.</w:t>
      </w:r>
    </w:p>
    <w:p>
      <w:pPr>
        <w:keepNext/>
        <w:spacing w:after="120" w:before="200" w:line="276"/>
        <w:jc w:val="left"/>
      </w:pPr>
      <w:r>
        <w:rPr>
          <w:rFonts w:ascii="Times New Roman" w:cs="Times New Roman" w:eastAsia="Times New Roman" w:hAnsi="Times New Roman"/>
          <w:b/>
          <w:bCs/>
          <w:sz w:val="24"/>
          <w:szCs w:val="24"/>
        </w:rPr>
        <w:t xml:space="preserve">P9.  Citation triage (assistance only)</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you have a list of authorities from a colleague, a database or an earlier AI draft.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For each authority below, give the exact name, court, date, case number and the proposition for which it is cited. Mark any authority you are not certain exists, or whose holding you cannot state with confidence, as UNVERIFIED. I will verify every citation at source before use.</w:t>
            </w:r>
          </w:p>
          <w:p>
            <w:pPr>
              <w:spacing w:after="0"/>
              <w:jc w:val="left"/>
            </w:pPr>
            <w:r>
              <w:rPr>
                <w:rFonts w:ascii="Times New Roman" w:cs="Times New Roman" w:eastAsia="Times New Roman" w:hAnsi="Times New Roman"/>
                <w:sz w:val="21"/>
                <w:szCs w:val="21"/>
              </w:rPr>
              <w:t xml:space="preserve">[list]</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everything. Open the full text on the court's website or a reputed database; confirm the holding, the period and facts it dealt with, and that it has not been reversed.</w:t>
      </w:r>
    </w:p>
    <w:p>
      <w:pPr>
        <w:keepNext/>
        <w:spacing w:after="120" w:before="200" w:line="276"/>
        <w:jc w:val="left"/>
      </w:pPr>
      <w:r>
        <w:rPr>
          <w:rFonts w:ascii="Times New Roman" w:cs="Times New Roman" w:eastAsia="Times New Roman" w:hAnsi="Times New Roman"/>
          <w:b/>
          <w:bCs/>
          <w:sz w:val="24"/>
          <w:szCs w:val="24"/>
        </w:rPr>
        <w:t xml:space="preserve">P10.  Explain it to the client</w:t>
      </w:r>
    </w:p>
    <w:p>
      <w:pPr>
        <w:spacing w:after="120" w:before="0" w:line="276"/>
        <w:jc w:val="both"/>
      </w:pPr>
      <w:r>
        <w:rPr>
          <w:rFonts w:ascii="Times New Roman" w:cs="Times New Roman" w:eastAsia="Times New Roman" w:hAnsi="Times New Roman"/>
          <w:b/>
          <w:bCs/>
          <w:sz w:val="24"/>
          <w:szCs w:val="24"/>
        </w:rPr>
        <w:t xml:space="preserve">Use when:</w:t>
      </w:r>
      <w:r>
        <w:rPr>
          <w:rFonts w:ascii="Times New Roman" w:cs="Times New Roman" w:eastAsia="Times New Roman" w:hAnsi="Times New Roman"/>
          <w:sz w:val="24"/>
          <w:szCs w:val="24"/>
        </w:rPr>
        <w:t xml:space="preserve"> the client must decide what to contest and fund the pre-deposit.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val="false"/>
        </w:trPr>
        <w:tc>
          <w:tcPr>
            <w:tcW w:type="dxa" w:w="90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Prompt (copy, fill the brackets, paste)</w:t>
            </w:r>
          </w:p>
          <w:p>
            <w:pPr>
              <w:spacing w:after="0"/>
              <w:jc w:val="left"/>
            </w:pPr>
            <w:r>
              <w:rPr>
                <w:rFonts w:ascii="Times New Roman" w:cs="Times New Roman" w:eastAsia="Times New Roman" w:hAnsi="Times New Roman"/>
                <w:sz w:val="21"/>
                <w:szCs w:val="21"/>
              </w:rPr>
              <w:t xml:space="preserve">Write a one-page letter to the client in plain language: what the order says; what we will contest and why; what we recommend conceding and why; the pre-deposit and the last date; the documents we need from them by [date]. No jargon. No promise of outcome.</w:t>
            </w:r>
          </w:p>
        </w:tc>
      </w:tr>
    </w:tbl>
    <w:p>
      <w:pPr>
        <w:spacing w:after="60" w:before="0" w:line="276"/>
        <w:jc w:val="both"/>
      </w:pPr>
    </w:p>
    <w:p>
      <w:pPr>
        <w:spacing w:after="200" w:before="0" w:line="276"/>
        <w:jc w:val="both"/>
      </w:pPr>
      <w:r>
        <w:rPr>
          <w:rFonts w:ascii="Times New Roman" w:cs="Times New Roman" w:eastAsia="Times New Roman" w:hAnsi="Times New Roman"/>
          <w:b/>
          <w:bCs/>
          <w:sz w:val="24"/>
          <w:szCs w:val="24"/>
        </w:rPr>
        <w:t xml:space="preserve">What you must check yourself:</w:t>
      </w:r>
      <w:r>
        <w:rPr>
          <w:rFonts w:ascii="Times New Roman" w:cs="Times New Roman" w:eastAsia="Times New Roman" w:hAnsi="Times New Roman"/>
          <w:sz w:val="24"/>
          <w:szCs w:val="24"/>
        </w:rPr>
        <w:t xml:space="preserve"> that the recommendation is yours, not the tool's.</w:t>
      </w:r>
    </w:p>
    <w:p>
      <w:r>
        <w:br w:type="page"/>
      </w:r>
    </w:p>
    <w:p>
      <w:pPr>
        <w:keepNext/>
        <w:spacing w:after="120" w:before="200" w:line="276"/>
        <w:jc w:val="left"/>
      </w:pPr>
      <w:r>
        <w:rPr>
          <w:rFonts w:ascii="Times New Roman" w:cs="Times New Roman" w:eastAsia="Times New Roman" w:hAnsi="Times New Roman"/>
          <w:b/>
          <w:bCs/>
          <w:sz w:val="24"/>
          <w:szCs w:val="24"/>
        </w:rPr>
        <w:t xml:space="preserve">Part D — Verification checklist (to be signed off before filing)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0"/>
        <w:gridCol w:w="3400"/>
        <w:gridCol w:w="4326"/>
        <w:gridCol w:w="800"/>
      </w:tblGrid>
      <w:tr>
        <w:trPr>
          <w:tblHeader/>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Check</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How</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Done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1</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Every date</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Against the portal and the documents, not against the AI's case card</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2</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Limitation</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Computed by hand; internal deadline fixed well before the last date</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3</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Every figure</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Ties to the order or to a formula in the reconciliation; tie-out cell is zero</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4</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Every section</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Read in the bare Act as amended on the relevant date (e.g. Sections 16(2)(aa), 16(5)–(6), 74A, 107(6) have all changed since 2021)</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5</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Every circular / notification</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Number, date and the period it covers (e.g. Circular 183/15/2022-GST: FY 2017-18 and 2018-19; Circular 193/05/2023-GST: 01.04.2019 to 31.12.2021)</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6</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Every judgment</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Full text opened; holding confirmed; facts and period compared; not reversed or distinguished</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7</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No accidental admission</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AI drafts often concede a fact in passing — read for it</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8</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Tone</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Legal error stated; no allegation against the officer beyond the record</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9</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Confidentiality</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Data masked; tool settings checked; client consent on file</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r>
        <w:trPr>
          <w:tblHeader w:val="false"/>
        </w:trP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10</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Final human read</w:t>
            </w:r>
          </w:p>
        </w:tc>
        <w:tc>
          <w:tcPr>
            <w:tcW w:type="dxa" w:w="432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By the signatory, aloud, start to finish</w:t>
            </w:r>
          </w:p>
        </w:tc>
        <w:tc>
          <w:tcPr>
            <w:tcW w:type="dxa" w:w="8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w:t>
            </w:r>
          </w:p>
        </w:tc>
      </w:tr>
    </w:tbl>
    <w:p>
      <w:pPr>
        <w:spacing w:after="160" w:before="0" w:line="276"/>
        <w:jc w:val="both"/>
      </w:pPr>
    </w:p>
    <w:p>
      <w:pPr>
        <w:keepNext/>
        <w:spacing w:after="120" w:before="200" w:line="276"/>
        <w:jc w:val="left"/>
      </w:pPr>
      <w:r>
        <w:rPr>
          <w:rFonts w:ascii="Times New Roman" w:cs="Times New Roman" w:eastAsia="Times New Roman" w:hAnsi="Times New Roman"/>
          <w:b/>
          <w:bCs/>
          <w:sz w:val="24"/>
          <w:szCs w:val="24"/>
        </w:rPr>
        <w:t xml:space="preserve">Part E — Masking before upload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13"/>
        <w:gridCol w:w="3013"/>
      </w:tblGrid>
      <w:tr>
        <w:trPr>
          <w:tblHeader/>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Item</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Real (example)</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b/>
                <w:bCs/>
                <w:sz w:val="21"/>
                <w:szCs w:val="21"/>
              </w:rPr>
              <w:t xml:space="preserve">Masked</w:t>
            </w:r>
          </w:p>
        </w:tc>
      </w:tr>
      <w:tr>
        <w:trPr>
          <w:tblHeader w:val="false"/>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Client name</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Shyam Polymers Pvt Ltd</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the Appellant / Company A</w:t>
            </w:r>
          </w:p>
        </w:tc>
      </w:tr>
      <w:tr>
        <w:trPr>
          <w:tblHeader w:val="false"/>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GSTIN</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19AAKCS4821M1Z7</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19XXXXX4821X1ZX</w:t>
            </w:r>
          </w:p>
        </w:tc>
      </w:tr>
      <w:tr>
        <w:trPr>
          <w:tblHeader w:val="false"/>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PAN, Aadhaar, bank account</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as in records</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remove entirely unless essential</w:t>
            </w:r>
          </w:p>
        </w:tc>
      </w:tr>
      <w:tr>
        <w:trPr>
          <w:tblHeader w:val="false"/>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Supplier names</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Rupali Traders</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Supplier R</w:t>
            </w:r>
          </w:p>
        </w:tc>
      </w:tr>
      <w:tr>
        <w:trPr>
          <w:tblHeader w:val="false"/>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Individuals</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Director, accountant</w:t>
            </w:r>
          </w:p>
        </w:tc>
        <w:tc>
          <w:tcPr>
            <w:tcW w:type="dxa" w:w="3013"/>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jc w:val="left"/>
            </w:pPr>
            <w:r>
              <w:rPr>
                <w:rFonts w:ascii="Times New Roman" w:cs="Times New Roman" w:eastAsia="Times New Roman" w:hAnsi="Times New Roman"/>
                <w:sz w:val="21"/>
                <w:szCs w:val="21"/>
              </w:rPr>
              <w:t xml:space="preserve">Director-1, Accountant-1</w:t>
            </w:r>
          </w:p>
        </w:tc>
      </w:tr>
    </w:tbl>
    <w:p>
      <w:pPr>
        <w:spacing w:after="120" w:before="0" w:line="276"/>
        <w:jc w:val="both"/>
      </w:pPr>
    </w:p>
    <w:p>
      <w:pPr>
        <w:spacing w:after="120" w:before="0" w:line="276"/>
        <w:jc w:val="both"/>
      </w:pPr>
      <w:r>
        <w:rPr>
          <w:rFonts w:ascii="Times New Roman" w:cs="Times New Roman" w:eastAsia="Times New Roman" w:hAnsi="Times New Roman"/>
          <w:i/>
          <w:iCs/>
          <w:sz w:val="20"/>
          <w:szCs w:val="20"/>
        </w:rPr>
        <w:t xml:space="preserve">The sample case used in this session (Shyam Polymers Pvt Ltd and its suppliers) is entirely fictitious.</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Page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of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18"/>
        <w:szCs w:val="18"/>
      </w:rPr>
      <w:t xml:space="preserve">AI in GST Appeals — Prompt Library and Verification Protocol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2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2026-10-03T10:29:41.173Z</dcterms:created>
  <dcterms:modified xsi:type="dcterms:W3CDTF">2026-10-03T10:29:41.173Z</dcterms:modified>
</cp:coreProperties>
</file>

<file path=docProps/custom.xml><?xml version="1.0" encoding="utf-8"?>
<Properties xmlns="http://schemas.openxmlformats.org/officeDocument/2006/custom-properties" xmlns:vt="http://schemas.openxmlformats.org/officeDocument/2006/docPropsVTypes"/>
</file>